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3" w:hRule="atLeast"/>
        </w:trPr>
        <w:tc>
          <w:tcPr>
            <w:tcW w:w="7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Воронин Д.В.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b"/>
        <w:tblW w:w="4957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2405"/>
        <w:gridCol w:w="2551"/>
      </w:tblGrid>
      <w:tr>
        <w:trPr>
          <w:trHeight w:val="220" w:hRule="atLeast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>
        <w:trPr/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4" w:hRule="atLeast"/>
        </w:trPr>
        <w:tc>
          <w:tcPr>
            <w:tcW w:w="7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Воронин Д.В.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Опись вложений в груз</w:t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7091"/>
        <w:gridCol w:w="3364"/>
      </w:tblGrid>
      <w:tr>
        <w:trPr/>
        <w:tc>
          <w:tcPr>
            <w:tcW w:w="709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Грузоотправитель:</w:t>
            </w:r>
          </w:p>
        </w:tc>
        <w:tc>
          <w:tcPr>
            <w:tcW w:w="336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7091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накладным (экспедиторским распискам)</w:t>
        <w:tab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-1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856"/>
        <w:gridCol w:w="9599"/>
      </w:tblGrid>
      <w:tr>
        <w:trPr/>
        <w:tc>
          <w:tcPr>
            <w:tcW w:w="85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>
        <w:trPr>
          <w:trHeight w:val="551" w:hRule="atLeast"/>
        </w:trPr>
        <w:tc>
          <w:tcPr>
            <w:tcW w:w="85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455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3680"/>
        <w:gridCol w:w="3315"/>
        <w:gridCol w:w="1730"/>
        <w:gridCol w:w="1730"/>
      </w:tblGrid>
      <w:tr>
        <w:trPr/>
        <w:tc>
          <w:tcPr>
            <w:tcW w:w="3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>
        <w:trPr>
          <w:trHeight w:val="350" w:hRule="atLeast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/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/>
    </w:pPr>
    <w:r>
      <w:rPr>
        <w:b/>
        <w:color w:val="1F4E79" w:themeColor="accent1" w:themeShade="80"/>
        <w:sz w:val="32"/>
        <w:szCs w:val="32"/>
      </w:rPr>
      <w:t>Индивидуальный предприниматель</w:t>
    </w:r>
  </w:p>
  <w:p>
    <w:pPr>
      <w:pStyle w:val="Style23"/>
      <w:jc w:val="center"/>
      <w:rPr/>
    </w:pPr>
    <w:r>
      <w:rPr>
        <w:b/>
        <w:bCs/>
        <w:color w:val="1F4E79" w:themeColor="accent1" w:themeShade="80"/>
        <w:sz w:val="28"/>
        <w:szCs w:val="28"/>
      </w:rPr>
      <w:t>В</w:t>
    </w:r>
    <w:r>
      <w:rPr>
        <w:b/>
        <w:bCs/>
        <w:color w:val="1F4E79" w:themeColor="accent1" w:themeShade="80"/>
        <w:sz w:val="28"/>
        <w:szCs w:val="28"/>
      </w:rPr>
      <w:t>оронин</w:t>
    </w:r>
    <w:r>
      <w:rPr>
        <w:b/>
        <w:bCs/>
        <w:color w:val="1F4E79" w:themeColor="accent1" w:themeShade="80"/>
        <w:sz w:val="28"/>
        <w:szCs w:val="28"/>
      </w:rPr>
      <w:t xml:space="preserve"> Д</w:t>
    </w:r>
    <w:r>
      <w:rPr>
        <w:b/>
        <w:bCs/>
        <w:color w:val="1F4E79" w:themeColor="accent1" w:themeShade="80"/>
        <w:sz w:val="28"/>
        <w:szCs w:val="28"/>
      </w:rPr>
      <w:t>митрий</w:t>
    </w:r>
    <w:r>
      <w:rPr>
        <w:b/>
        <w:bCs/>
        <w:color w:val="1F4E79" w:themeColor="accent1" w:themeShade="80"/>
        <w:sz w:val="28"/>
        <w:szCs w:val="28"/>
      </w:rPr>
      <w:t xml:space="preserve"> В</w:t>
    </w:r>
    <w:r>
      <w:rPr>
        <w:b/>
        <w:bCs/>
        <w:color w:val="1F4E79" w:themeColor="accent1" w:themeShade="80"/>
        <w:sz w:val="28"/>
        <w:szCs w:val="28"/>
      </w:rPr>
      <w:t>ячеславович</w:t>
    </w:r>
  </w:p>
  <w:p>
    <w:pPr>
      <w:pStyle w:val="Style23"/>
      <w:jc w:val="center"/>
      <w:rPr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b/>
        <w:bCs/>
        <w:i w:val="false"/>
        <w:caps w:val="false"/>
        <w:smallCaps w:val="false"/>
        <w:color w:val="000000"/>
        <w:spacing w:val="0"/>
        <w:sz w:val="20"/>
        <w:szCs w:val="20"/>
      </w:rPr>
      <w:t>390506768970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31739260000702</w:t>
    </w:r>
  </w:p>
  <w:p>
    <w:pPr>
      <w:pStyle w:val="Style23"/>
      <w:jc w:val="center"/>
      <w:rPr/>
    </w:pPr>
    <w:r>
      <w:rPr>
        <w:b/>
        <w:sz w:val="24"/>
        <w:szCs w:val="24"/>
      </w:rPr>
      <w:t xml:space="preserve">Адрес: </w:t>
    </w:r>
    <w:r>
      <w:rPr>
        <w:rFonts w:ascii="Calibri" w:hAnsi="Calibri"/>
        <w:b/>
        <w:bCs/>
        <w:i w:val="false"/>
        <w:caps w:val="false"/>
        <w:smallCaps w:val="false"/>
        <w:color w:val="000000"/>
        <w:spacing w:val="0"/>
        <w:sz w:val="24"/>
        <w:szCs w:val="24"/>
      </w:rPr>
      <w:t xml:space="preserve">г.  </w:t>
    </w:r>
    <w:r>
      <w:rPr>
        <w:rFonts w:ascii="Calibri" w:hAnsi="Calibri"/>
        <w:b/>
        <w:bCs/>
        <w:i w:val="false"/>
        <w:caps w:val="false"/>
        <w:smallCaps w:val="false"/>
        <w:color w:val="000000"/>
        <w:spacing w:val="0"/>
        <w:sz w:val="24"/>
        <w:szCs w:val="24"/>
        <w:u w:val="none"/>
      </w:rPr>
      <w:t>Калининград</w:t>
    </w:r>
    <w:r>
      <w:rPr>
        <w:rFonts w:ascii="Calibri" w:hAnsi="Calibri"/>
        <w:b/>
        <w:bCs/>
        <w:i w:val="false"/>
        <w:caps w:val="false"/>
        <w:smallCaps w:val="false"/>
        <w:color w:val="000000"/>
        <w:spacing w:val="0"/>
        <w:sz w:val="24"/>
        <w:szCs w:val="24"/>
      </w:rPr>
      <w:t xml:space="preserve">, ул. Красная, д. 247, к.1, оф. 23 </w:t>
    </w:r>
    <w:r>
      <w:rPr>
        <w:b/>
        <w:color w:val="000000"/>
        <w:sz w:val="24"/>
        <w:szCs w:val="24"/>
      </w:rPr>
      <w:t xml:space="preserve"> </w:t>
    </w:r>
  </w:p>
  <w:p>
    <w:pPr>
      <w:pStyle w:val="Style23"/>
      <w:jc w:val="center"/>
      <w:rPr/>
    </w:pPr>
    <w:r>
      <w:rPr>
        <w:b/>
        <w:sz w:val="24"/>
        <w:szCs w:val="24"/>
      </w:rPr>
      <w:t>Тел./факс:</w:t>
    </w:r>
    <w:r>
      <w:rPr>
        <w:b/>
        <w:bCs/>
        <w:color w:val="000000"/>
        <w:sz w:val="24"/>
        <w:szCs w:val="24"/>
      </w:rPr>
      <w:t xml:space="preserve"> </w:t>
    </w:r>
    <w:hyperlink r:id="rId2">
      <w:r>
        <w:rPr>
          <w:rStyle w:val="Style16"/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  <w:t>8(4012) 90-44-38</w:t>
      </w:r>
    </w:hyperlink>
    <w:r>
      <w:rPr>
        <w:rFonts w:ascii="Calibri" w:hAnsi="Calibri"/>
        <w:b/>
        <w:bCs/>
        <w:color w:val="000000"/>
        <w:sz w:val="24"/>
        <w:szCs w:val="24"/>
        <w:u w:val="none"/>
      </w:rPr>
      <w:t xml:space="preserve"> </w:t>
    </w:r>
  </w:p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72f6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72f6c"/>
    <w:rPr/>
  </w:style>
  <w:style w:type="character" w:styleId="Style16" w:customStyle="1">
    <w:name w:val="Интернет-ссылка"/>
    <w:basedOn w:val="DefaultParagraphFont"/>
    <w:uiPriority w:val="99"/>
    <w:unhideWhenUsed/>
    <w:rsid w:val="00f72f6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4f1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4f1abe"/>
    <w:pPr>
      <w:spacing w:lineRule="auto" w:line="288" w:before="0" w:after="140"/>
    </w:pPr>
    <w:rPr/>
  </w:style>
  <w:style w:type="paragraph" w:styleId="Style20">
    <w:name w:val="List"/>
    <w:basedOn w:val="Style19"/>
    <w:rsid w:val="004f1abe"/>
    <w:pPr/>
    <w:rPr>
      <w:rFonts w:cs="Mangal"/>
    </w:rPr>
  </w:style>
  <w:style w:type="paragraph" w:styleId="Style21" w:customStyle="1">
    <w:name w:val="Caption"/>
    <w:basedOn w:val="Normal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1abe"/>
    <w:pPr>
      <w:suppressLineNumbers/>
    </w:pPr>
    <w:rPr>
      <w:rFonts w:cs="Mangal"/>
    </w:rPr>
  </w:style>
  <w:style w:type="paragraph" w:styleId="Style23" w:customStyle="1">
    <w:name w:val="Head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7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tel:+74012904438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LibreOffice/5.4.0.3$Windows_X86_64 LibreOffice_project/7556cbc6811c9d992f4064ab9287069087d7f62c</Application>
  <Pages>3</Pages>
  <Words>861</Words>
  <Characters>6585</Characters>
  <CharactersWithSpaces>7388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2018-08-17T04:53:00Z</dcterms:created>
  <dc:creator>Программист;OpenTBS 1.9.11</dc:creator>
  <dc:description/>
  <dc:language>ru-RU</dc:language>
  <cp:lastModifiedBy/>
  <dcterms:modified xsi:type="dcterms:W3CDTF">2019-08-13T17:55:05Z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